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BB" w:rsidRPr="004952BB" w:rsidRDefault="004952BB" w:rsidP="004952BB">
      <w:pPr>
        <w:pStyle w:val="2"/>
        <w:spacing w:after="0"/>
        <w:jc w:val="center"/>
        <w:rPr>
          <w:color w:val="333333"/>
          <w:sz w:val="28"/>
          <w:szCs w:val="28"/>
        </w:rPr>
      </w:pPr>
      <w:bookmarkStart w:id="0" w:name="dst100001"/>
      <w:bookmarkEnd w:id="0"/>
      <w:r w:rsidRPr="004952BB">
        <w:rPr>
          <w:color w:val="333333"/>
          <w:sz w:val="28"/>
          <w:szCs w:val="28"/>
        </w:rPr>
        <w:t>МИНИСТЕРСТВО ФИНАНСОВ РОССИЙСКОЙ ФЕДЕРАЦИИ</w:t>
      </w:r>
    </w:p>
    <w:p w:rsidR="004952BB" w:rsidRPr="004952BB" w:rsidRDefault="004952BB" w:rsidP="004952BB">
      <w:pPr>
        <w:pStyle w:val="2"/>
        <w:spacing w:after="0"/>
        <w:jc w:val="center"/>
        <w:rPr>
          <w:color w:val="333333"/>
          <w:sz w:val="28"/>
          <w:szCs w:val="28"/>
        </w:rPr>
      </w:pPr>
      <w:bookmarkStart w:id="1" w:name="dst100002"/>
      <w:bookmarkStart w:id="2" w:name="_GoBack"/>
      <w:bookmarkEnd w:id="1"/>
      <w:bookmarkEnd w:id="2"/>
      <w:r w:rsidRPr="004952BB">
        <w:rPr>
          <w:color w:val="333333"/>
          <w:sz w:val="28"/>
          <w:szCs w:val="28"/>
        </w:rPr>
        <w:t>ПИСЬМО</w:t>
      </w:r>
    </w:p>
    <w:p w:rsidR="004952BB" w:rsidRPr="004952BB" w:rsidRDefault="004952BB" w:rsidP="004952BB">
      <w:pPr>
        <w:pStyle w:val="2"/>
        <w:spacing w:after="0"/>
        <w:jc w:val="center"/>
        <w:rPr>
          <w:color w:val="333333"/>
          <w:sz w:val="28"/>
          <w:szCs w:val="28"/>
        </w:rPr>
      </w:pPr>
      <w:r w:rsidRPr="004952BB">
        <w:rPr>
          <w:color w:val="333333"/>
          <w:sz w:val="28"/>
          <w:szCs w:val="28"/>
        </w:rPr>
        <w:t>от 30 сентября 2016 г. N 03-07-11/56905</w:t>
      </w:r>
    </w:p>
    <w:p w:rsidR="004952BB" w:rsidRPr="004952BB" w:rsidRDefault="004952BB" w:rsidP="004952BB">
      <w:pPr>
        <w:spacing w:after="0" w:line="240" w:lineRule="auto"/>
        <w:jc w:val="both"/>
        <w:rPr>
          <w:rFonts w:ascii="Times New Roman" w:hAnsi="Times New Roman" w:cs="Times New Roman"/>
          <w:color w:val="000000"/>
          <w:sz w:val="28"/>
          <w:szCs w:val="28"/>
        </w:rPr>
      </w:pPr>
      <w:r w:rsidRPr="004952BB">
        <w:rPr>
          <w:rFonts w:ascii="Times New Roman" w:hAnsi="Times New Roman" w:cs="Times New Roman"/>
          <w:color w:val="000000"/>
          <w:sz w:val="28"/>
          <w:szCs w:val="28"/>
        </w:rPr>
        <w:t> </w:t>
      </w:r>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3" w:name="dst100003"/>
      <w:bookmarkEnd w:id="3"/>
      <w:r w:rsidRPr="004952BB">
        <w:rPr>
          <w:rFonts w:ascii="Times New Roman" w:hAnsi="Times New Roman" w:cs="Times New Roman"/>
          <w:color w:val="000000"/>
          <w:sz w:val="28"/>
          <w:szCs w:val="28"/>
        </w:rPr>
        <w:t>Департамент налоговой и таможенной политики рассмотрел письмо по вопросам определения налоговой базы по налогу на добавленную стоимость при реализации строительно-монтажных работ и применении вычетов сумм налога на добавленную стоимость, предъявленных подрядчиком, и сообщает.</w:t>
      </w:r>
    </w:p>
    <w:bookmarkStart w:id="4" w:name="dst100004"/>
    <w:bookmarkEnd w:id="4"/>
    <w:p w:rsidR="004952BB" w:rsidRPr="004952BB" w:rsidRDefault="004952BB" w:rsidP="004952BB">
      <w:pPr>
        <w:spacing w:after="0" w:line="240" w:lineRule="auto"/>
        <w:ind w:firstLine="547"/>
        <w:jc w:val="both"/>
        <w:rPr>
          <w:rFonts w:ascii="Times New Roman" w:hAnsi="Times New Roman" w:cs="Times New Roman"/>
          <w:color w:val="000000"/>
          <w:sz w:val="28"/>
          <w:szCs w:val="28"/>
        </w:rPr>
      </w:pPr>
      <w:r w:rsidRPr="004952BB">
        <w:rPr>
          <w:rFonts w:ascii="Times New Roman" w:hAnsi="Times New Roman" w:cs="Times New Roman"/>
          <w:color w:val="000000"/>
          <w:sz w:val="28"/>
          <w:szCs w:val="28"/>
        </w:rPr>
        <w:fldChar w:fldCharType="begin"/>
      </w:r>
      <w:r w:rsidRPr="004952BB">
        <w:rPr>
          <w:rFonts w:ascii="Times New Roman" w:hAnsi="Times New Roman" w:cs="Times New Roman"/>
          <w:color w:val="000000"/>
          <w:sz w:val="28"/>
          <w:szCs w:val="28"/>
        </w:rPr>
        <w:instrText xml:space="preserve"> HYPERLINK "http://www.consultant.ru/document/cons_doc_LAW_28165/076a8f7742580a39ddb7c28ce3b3b48c6519df2f/" \l "dst6957" </w:instrText>
      </w:r>
      <w:r w:rsidRPr="004952BB">
        <w:rPr>
          <w:rFonts w:ascii="Times New Roman" w:hAnsi="Times New Roman" w:cs="Times New Roman"/>
          <w:color w:val="000000"/>
          <w:sz w:val="28"/>
          <w:szCs w:val="28"/>
        </w:rPr>
        <w:fldChar w:fldCharType="separate"/>
      </w:r>
      <w:proofErr w:type="gramStart"/>
      <w:r w:rsidRPr="004952BB">
        <w:rPr>
          <w:rStyle w:val="a3"/>
          <w:rFonts w:ascii="Times New Roman" w:hAnsi="Times New Roman" w:cs="Times New Roman"/>
          <w:sz w:val="28"/>
          <w:szCs w:val="28"/>
        </w:rPr>
        <w:t>Пунктом 1 статьи 154</w:t>
      </w:r>
      <w:r w:rsidRPr="004952BB">
        <w:rPr>
          <w:rFonts w:ascii="Times New Roman" w:hAnsi="Times New Roman" w:cs="Times New Roman"/>
          <w:color w:val="000000"/>
          <w:sz w:val="28"/>
          <w:szCs w:val="28"/>
        </w:rPr>
        <w:fldChar w:fldCharType="end"/>
      </w:r>
      <w:r w:rsidRPr="004952BB">
        <w:rPr>
          <w:rFonts w:ascii="Times New Roman" w:hAnsi="Times New Roman" w:cs="Times New Roman"/>
          <w:color w:val="000000"/>
          <w:sz w:val="28"/>
          <w:szCs w:val="28"/>
        </w:rPr>
        <w:t xml:space="preserve"> Налогового кодекса Российской Федерации установлено, что при реализации налогоплательщиком товаров (работ, услуг) налоговая база по налогу на добавленную стоимость определяется как стоимость этих товаров (работ, услуг), исчисленная исходя из цен, определяемых в соответствии со статьей 105.3 Кодекса, с учетом акцизов (для подакцизных товаров) и без включения в них налога на добавленную стоимость.</w:t>
      </w:r>
      <w:proofErr w:type="gramEnd"/>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5" w:name="dst100005"/>
      <w:bookmarkEnd w:id="5"/>
      <w:proofErr w:type="gramStart"/>
      <w:r w:rsidRPr="004952BB">
        <w:rPr>
          <w:rFonts w:ascii="Times New Roman" w:hAnsi="Times New Roman" w:cs="Times New Roman"/>
          <w:color w:val="000000"/>
          <w:sz w:val="28"/>
          <w:szCs w:val="28"/>
        </w:rPr>
        <w:t xml:space="preserve">Таким образом, при реализации строительно-монтажных работ налоговая база по налогу на добавленную стоимость определяется как стоимость этих работ, исчисленная исходя из цен, определяемых в соответствии со </w:t>
      </w:r>
      <w:hyperlink r:id="rId6" w:anchor="dst1540" w:history="1">
        <w:r w:rsidRPr="004952BB">
          <w:rPr>
            <w:rStyle w:val="a3"/>
            <w:rFonts w:ascii="Times New Roman" w:hAnsi="Times New Roman" w:cs="Times New Roman"/>
            <w:sz w:val="28"/>
            <w:szCs w:val="28"/>
          </w:rPr>
          <w:t>статьей 105.3</w:t>
        </w:r>
      </w:hyperlink>
      <w:r w:rsidRPr="004952BB">
        <w:rPr>
          <w:rFonts w:ascii="Times New Roman" w:hAnsi="Times New Roman" w:cs="Times New Roman"/>
          <w:color w:val="000000"/>
          <w:sz w:val="28"/>
          <w:szCs w:val="28"/>
        </w:rPr>
        <w:t xml:space="preserve"> Кодекса, которые формируются с учетом всех фактических расходов на их выполнение, в том числе расходов на приобретение работ (услуг), не облагаемых налогом на добавленную стоимость.</w:t>
      </w:r>
      <w:proofErr w:type="gramEnd"/>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6" w:name="dst100006"/>
      <w:bookmarkEnd w:id="6"/>
      <w:proofErr w:type="gramStart"/>
      <w:r w:rsidRPr="004952BB">
        <w:rPr>
          <w:rFonts w:ascii="Times New Roman" w:hAnsi="Times New Roman" w:cs="Times New Roman"/>
          <w:color w:val="000000"/>
          <w:sz w:val="28"/>
          <w:szCs w:val="28"/>
        </w:rPr>
        <w:t xml:space="preserve">Что касается вопроса вычета налогоплательщиком сумм налога на добавленную стоимость, предъявленных подрядной организацией, по строительно-монтажным работам, стоимость которых сформирована с учетом расходов на приобретение работ (услуг), не облагаемых налогом на добавленную стоимость, то в соответствии с </w:t>
      </w:r>
      <w:hyperlink r:id="rId7" w:anchor="dst12767" w:history="1">
        <w:r w:rsidRPr="004952BB">
          <w:rPr>
            <w:rStyle w:val="a3"/>
            <w:rFonts w:ascii="Times New Roman" w:hAnsi="Times New Roman" w:cs="Times New Roman"/>
            <w:sz w:val="28"/>
            <w:szCs w:val="28"/>
          </w:rPr>
          <w:t>пунктом 2 статьи 171</w:t>
        </w:r>
      </w:hyperlink>
      <w:r w:rsidRPr="004952BB">
        <w:rPr>
          <w:rFonts w:ascii="Times New Roman" w:hAnsi="Times New Roman" w:cs="Times New Roman"/>
          <w:color w:val="000000"/>
          <w:sz w:val="28"/>
          <w:szCs w:val="28"/>
        </w:rPr>
        <w:t xml:space="preserve"> Кодекса вычетам подлежат суммы налога на добавленную стоимость, предъявленные налогоплательщику по товарам (работам, услугам), приобретаемым для осуществления операций, облагаемых этим</w:t>
      </w:r>
      <w:proofErr w:type="gramEnd"/>
      <w:r w:rsidRPr="004952BB">
        <w:rPr>
          <w:rFonts w:ascii="Times New Roman" w:hAnsi="Times New Roman" w:cs="Times New Roman"/>
          <w:color w:val="000000"/>
          <w:sz w:val="28"/>
          <w:szCs w:val="28"/>
        </w:rPr>
        <w:t xml:space="preserve"> налогом.</w:t>
      </w:r>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7" w:name="dst100007"/>
      <w:bookmarkEnd w:id="7"/>
      <w:r w:rsidRPr="004952BB">
        <w:rPr>
          <w:rFonts w:ascii="Times New Roman" w:hAnsi="Times New Roman" w:cs="Times New Roman"/>
          <w:color w:val="000000"/>
          <w:sz w:val="28"/>
          <w:szCs w:val="28"/>
        </w:rPr>
        <w:t xml:space="preserve">Согласно </w:t>
      </w:r>
      <w:hyperlink r:id="rId8" w:anchor="dst7505" w:history="1">
        <w:r w:rsidRPr="004952BB">
          <w:rPr>
            <w:rStyle w:val="a3"/>
            <w:rFonts w:ascii="Times New Roman" w:hAnsi="Times New Roman" w:cs="Times New Roman"/>
            <w:sz w:val="28"/>
            <w:szCs w:val="28"/>
          </w:rPr>
          <w:t>пункту 6 статьи 171</w:t>
        </w:r>
      </w:hyperlink>
      <w:r w:rsidRPr="004952BB">
        <w:rPr>
          <w:rFonts w:ascii="Times New Roman" w:hAnsi="Times New Roman" w:cs="Times New Roman"/>
          <w:color w:val="000000"/>
          <w:sz w:val="28"/>
          <w:szCs w:val="28"/>
        </w:rPr>
        <w:t xml:space="preserve"> Кодекса вычетам подлежат суммы налога на добавленную стоимость, предъявленные налогоплательщику подрядными организациями при проведении ими капитального строительства.</w:t>
      </w:r>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8" w:name="dst100008"/>
      <w:bookmarkEnd w:id="8"/>
      <w:r w:rsidRPr="004952BB">
        <w:rPr>
          <w:rFonts w:ascii="Times New Roman" w:hAnsi="Times New Roman" w:cs="Times New Roman"/>
          <w:color w:val="000000"/>
          <w:sz w:val="28"/>
          <w:szCs w:val="28"/>
        </w:rPr>
        <w:t xml:space="preserve">На основании </w:t>
      </w:r>
      <w:hyperlink r:id="rId9" w:anchor="dst6172" w:history="1">
        <w:r w:rsidRPr="004952BB">
          <w:rPr>
            <w:rStyle w:val="a3"/>
            <w:rFonts w:ascii="Times New Roman" w:hAnsi="Times New Roman" w:cs="Times New Roman"/>
            <w:sz w:val="28"/>
            <w:szCs w:val="28"/>
          </w:rPr>
          <w:t>пунктов 1</w:t>
        </w:r>
      </w:hyperlink>
      <w:r w:rsidRPr="004952BB">
        <w:rPr>
          <w:rFonts w:ascii="Times New Roman" w:hAnsi="Times New Roman" w:cs="Times New Roman"/>
          <w:color w:val="000000"/>
          <w:sz w:val="28"/>
          <w:szCs w:val="28"/>
        </w:rPr>
        <w:t xml:space="preserve"> и </w:t>
      </w:r>
      <w:hyperlink r:id="rId10" w:anchor="dst2154" w:history="1">
        <w:r w:rsidRPr="004952BB">
          <w:rPr>
            <w:rStyle w:val="a3"/>
            <w:rFonts w:ascii="Times New Roman" w:hAnsi="Times New Roman" w:cs="Times New Roman"/>
            <w:sz w:val="28"/>
            <w:szCs w:val="28"/>
          </w:rPr>
          <w:t>5 статьи 172</w:t>
        </w:r>
      </w:hyperlink>
      <w:r w:rsidRPr="004952BB">
        <w:rPr>
          <w:rFonts w:ascii="Times New Roman" w:hAnsi="Times New Roman" w:cs="Times New Roman"/>
          <w:color w:val="000000"/>
          <w:sz w:val="28"/>
          <w:szCs w:val="28"/>
        </w:rPr>
        <w:t xml:space="preserve"> Кодекса вычеты указанных сумм налога на добавленную стоимость производятся на основании счетов-фактур, выставленных подрядными организациями, после принятия выполненных работ на учет и при наличии соответствующих первичных документов.</w:t>
      </w:r>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9" w:name="dst100009"/>
      <w:bookmarkEnd w:id="9"/>
      <w:proofErr w:type="gramStart"/>
      <w:r w:rsidRPr="004952BB">
        <w:rPr>
          <w:rFonts w:ascii="Times New Roman" w:hAnsi="Times New Roman" w:cs="Times New Roman"/>
          <w:color w:val="000000"/>
          <w:sz w:val="28"/>
          <w:szCs w:val="28"/>
        </w:rPr>
        <w:t>Таким образом, суммы налога на добавленную стоимость, предъявленные налогоплательщику подрядной организацией по строительно-монтажным работам, стоимость которых сформирована с учетом расходов на приобретение работ (услуг), не облагаемых налогом на добавленную стоимость, принимаются к вычету на основании счетов-фактур, выставленных подрядными организациями, после принятия выполненных работ на учет и при наличии соответствующих первичных документов.</w:t>
      </w:r>
      <w:proofErr w:type="gramEnd"/>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bookmarkStart w:id="10" w:name="dst100010"/>
      <w:bookmarkEnd w:id="10"/>
      <w:r w:rsidRPr="004952BB">
        <w:rPr>
          <w:rFonts w:ascii="Times New Roman" w:hAnsi="Times New Roman" w:cs="Times New Roman"/>
          <w:color w:val="000000"/>
          <w:sz w:val="28"/>
          <w:szCs w:val="28"/>
        </w:rPr>
        <w:lastRenderedPageBreak/>
        <w:t xml:space="preserve">Одновременно сообщаем, что настоящее письмо не содержит правовых норм или общих правил, конкретизирующих нормативные предписания, и не является нормативным правовым актом. В соответствии с </w:t>
      </w:r>
      <w:hyperlink r:id="rId11" w:history="1">
        <w:r w:rsidRPr="004952BB">
          <w:rPr>
            <w:rStyle w:val="a3"/>
            <w:rFonts w:ascii="Times New Roman" w:hAnsi="Times New Roman" w:cs="Times New Roman"/>
            <w:sz w:val="28"/>
            <w:szCs w:val="28"/>
          </w:rPr>
          <w:t>письмом</w:t>
        </w:r>
      </w:hyperlink>
      <w:r w:rsidRPr="004952BB">
        <w:rPr>
          <w:rFonts w:ascii="Times New Roman" w:hAnsi="Times New Roman" w:cs="Times New Roman"/>
          <w:color w:val="000000"/>
          <w:sz w:val="28"/>
          <w:szCs w:val="28"/>
        </w:rPr>
        <w:t xml:space="preserve"> Минфина России от 7 августа 2007 г. N 03-02-07/2-138 направляемое письмо имеет информационно-разъяснительный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 отличающемся от трактовки, изложенной в настоящем письме.</w:t>
      </w:r>
    </w:p>
    <w:p w:rsidR="004952BB" w:rsidRPr="004952BB" w:rsidRDefault="004952BB" w:rsidP="004952BB">
      <w:pPr>
        <w:spacing w:after="0" w:line="240" w:lineRule="auto"/>
        <w:ind w:firstLine="547"/>
        <w:jc w:val="both"/>
        <w:rPr>
          <w:rFonts w:ascii="Times New Roman" w:hAnsi="Times New Roman" w:cs="Times New Roman"/>
          <w:color w:val="000000"/>
          <w:sz w:val="28"/>
          <w:szCs w:val="28"/>
        </w:rPr>
      </w:pPr>
      <w:r w:rsidRPr="004952BB">
        <w:rPr>
          <w:rFonts w:ascii="Times New Roman" w:hAnsi="Times New Roman" w:cs="Times New Roman"/>
          <w:color w:val="000000"/>
          <w:sz w:val="28"/>
          <w:szCs w:val="28"/>
        </w:rPr>
        <w:t> </w:t>
      </w:r>
    </w:p>
    <w:p w:rsidR="004952BB" w:rsidRPr="004952BB" w:rsidRDefault="004952BB" w:rsidP="004952BB">
      <w:pPr>
        <w:spacing w:after="0" w:line="240" w:lineRule="auto"/>
        <w:jc w:val="right"/>
        <w:rPr>
          <w:rFonts w:ascii="Times New Roman" w:hAnsi="Times New Roman" w:cs="Times New Roman"/>
          <w:color w:val="333333"/>
          <w:sz w:val="28"/>
          <w:szCs w:val="28"/>
        </w:rPr>
      </w:pPr>
      <w:bookmarkStart w:id="11" w:name="dst100011"/>
      <w:bookmarkEnd w:id="11"/>
      <w:r w:rsidRPr="004952BB">
        <w:rPr>
          <w:rFonts w:ascii="Times New Roman" w:hAnsi="Times New Roman" w:cs="Times New Roman"/>
          <w:color w:val="333333"/>
          <w:sz w:val="28"/>
          <w:szCs w:val="28"/>
        </w:rPr>
        <w:t>Заместитель директора Департамента</w:t>
      </w:r>
    </w:p>
    <w:p w:rsidR="004952BB" w:rsidRPr="004952BB" w:rsidRDefault="004952BB" w:rsidP="004952BB">
      <w:pPr>
        <w:spacing w:after="0" w:line="240" w:lineRule="auto"/>
        <w:jc w:val="right"/>
        <w:rPr>
          <w:rFonts w:ascii="Times New Roman" w:hAnsi="Times New Roman" w:cs="Times New Roman"/>
          <w:color w:val="333333"/>
          <w:sz w:val="28"/>
          <w:szCs w:val="28"/>
        </w:rPr>
      </w:pPr>
      <w:r w:rsidRPr="004952BB">
        <w:rPr>
          <w:rFonts w:ascii="Times New Roman" w:hAnsi="Times New Roman" w:cs="Times New Roman"/>
          <w:color w:val="333333"/>
          <w:sz w:val="28"/>
          <w:szCs w:val="28"/>
        </w:rPr>
        <w:t>О.Ф.ЦИБИЗОВА</w:t>
      </w:r>
    </w:p>
    <w:p w:rsidR="004952BB" w:rsidRPr="004952BB" w:rsidRDefault="004952BB" w:rsidP="004952BB">
      <w:pPr>
        <w:spacing w:after="0" w:line="240" w:lineRule="auto"/>
        <w:jc w:val="both"/>
        <w:rPr>
          <w:rFonts w:ascii="Times New Roman" w:hAnsi="Times New Roman" w:cs="Times New Roman"/>
          <w:color w:val="000000"/>
          <w:sz w:val="28"/>
          <w:szCs w:val="28"/>
        </w:rPr>
      </w:pPr>
      <w:r w:rsidRPr="004952BB">
        <w:rPr>
          <w:rFonts w:ascii="Times New Roman" w:hAnsi="Times New Roman" w:cs="Times New Roman"/>
          <w:color w:val="000000"/>
          <w:sz w:val="28"/>
          <w:szCs w:val="28"/>
        </w:rPr>
        <w:t> </w:t>
      </w:r>
    </w:p>
    <w:p w:rsidR="004952BB" w:rsidRDefault="004952BB"/>
    <w:sectPr w:rsidR="00495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12BD6"/>
    <w:multiLevelType w:val="multilevel"/>
    <w:tmpl w:val="DDC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BB"/>
    <w:rsid w:val="002A5978"/>
    <w:rsid w:val="004952BB"/>
    <w:rsid w:val="00F1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52BB"/>
    <w:pPr>
      <w:spacing w:after="15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52BB"/>
    <w:rPr>
      <w:color w:val="0000FF"/>
      <w:u w:val="single"/>
    </w:rPr>
  </w:style>
  <w:style w:type="paragraph" w:customStyle="1" w:styleId="rmcnidyq">
    <w:name w:val="rmcnidyq"/>
    <w:basedOn w:val="a"/>
    <w:rsid w:val="00495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95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52B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52BB"/>
    <w:pPr>
      <w:spacing w:after="15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52BB"/>
    <w:rPr>
      <w:color w:val="0000FF"/>
      <w:u w:val="single"/>
    </w:rPr>
  </w:style>
  <w:style w:type="paragraph" w:customStyle="1" w:styleId="rmcnidyq">
    <w:name w:val="rmcnidyq"/>
    <w:basedOn w:val="a"/>
    <w:rsid w:val="00495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95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52B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6979">
      <w:bodyDiv w:val="1"/>
      <w:marLeft w:val="0"/>
      <w:marRight w:val="0"/>
      <w:marTop w:val="0"/>
      <w:marBottom w:val="0"/>
      <w:divBdr>
        <w:top w:val="none" w:sz="0" w:space="0" w:color="auto"/>
        <w:left w:val="none" w:sz="0" w:space="0" w:color="auto"/>
        <w:bottom w:val="none" w:sz="0" w:space="0" w:color="auto"/>
        <w:right w:val="none" w:sz="0" w:space="0" w:color="auto"/>
      </w:divBdr>
      <w:divsChild>
        <w:div w:id="1495997065">
          <w:marLeft w:val="0"/>
          <w:marRight w:val="0"/>
          <w:marTop w:val="0"/>
          <w:marBottom w:val="0"/>
          <w:divBdr>
            <w:top w:val="none" w:sz="0" w:space="0" w:color="auto"/>
            <w:left w:val="none" w:sz="0" w:space="0" w:color="auto"/>
            <w:bottom w:val="none" w:sz="0" w:space="0" w:color="auto"/>
            <w:right w:val="none" w:sz="0" w:space="0" w:color="auto"/>
          </w:divBdr>
          <w:divsChild>
            <w:div w:id="1044328490">
              <w:marLeft w:val="0"/>
              <w:marRight w:val="0"/>
              <w:marTop w:val="0"/>
              <w:marBottom w:val="0"/>
              <w:divBdr>
                <w:top w:val="none" w:sz="0" w:space="0" w:color="auto"/>
                <w:left w:val="none" w:sz="0" w:space="0" w:color="auto"/>
                <w:bottom w:val="none" w:sz="0" w:space="0" w:color="auto"/>
                <w:right w:val="none" w:sz="0" w:space="0" w:color="auto"/>
              </w:divBdr>
              <w:divsChild>
                <w:div w:id="1353874466">
                  <w:marLeft w:val="0"/>
                  <w:marRight w:val="0"/>
                  <w:marTop w:val="120"/>
                  <w:marBottom w:val="0"/>
                  <w:divBdr>
                    <w:top w:val="none" w:sz="0" w:space="0" w:color="auto"/>
                    <w:left w:val="none" w:sz="0" w:space="0" w:color="auto"/>
                    <w:bottom w:val="none" w:sz="0" w:space="0" w:color="auto"/>
                    <w:right w:val="none" w:sz="0" w:space="0" w:color="auto"/>
                  </w:divBdr>
                </w:div>
                <w:div w:id="1158696066">
                  <w:marLeft w:val="0"/>
                  <w:marRight w:val="0"/>
                  <w:marTop w:val="120"/>
                  <w:marBottom w:val="0"/>
                  <w:divBdr>
                    <w:top w:val="none" w:sz="0" w:space="0" w:color="auto"/>
                    <w:left w:val="none" w:sz="0" w:space="0" w:color="auto"/>
                    <w:bottom w:val="none" w:sz="0" w:space="0" w:color="auto"/>
                    <w:right w:val="none" w:sz="0" w:space="0" w:color="auto"/>
                  </w:divBdr>
                </w:div>
                <w:div w:id="687412880">
                  <w:marLeft w:val="0"/>
                  <w:marRight w:val="0"/>
                  <w:marTop w:val="120"/>
                  <w:marBottom w:val="0"/>
                  <w:divBdr>
                    <w:top w:val="none" w:sz="0" w:space="0" w:color="auto"/>
                    <w:left w:val="none" w:sz="0" w:space="0" w:color="auto"/>
                    <w:bottom w:val="none" w:sz="0" w:space="0" w:color="auto"/>
                    <w:right w:val="none" w:sz="0" w:space="0" w:color="auto"/>
                  </w:divBdr>
                </w:div>
                <w:div w:id="266548068">
                  <w:marLeft w:val="0"/>
                  <w:marRight w:val="0"/>
                  <w:marTop w:val="120"/>
                  <w:marBottom w:val="0"/>
                  <w:divBdr>
                    <w:top w:val="none" w:sz="0" w:space="0" w:color="auto"/>
                    <w:left w:val="none" w:sz="0" w:space="0" w:color="auto"/>
                    <w:bottom w:val="none" w:sz="0" w:space="0" w:color="auto"/>
                    <w:right w:val="none" w:sz="0" w:space="0" w:color="auto"/>
                  </w:divBdr>
                </w:div>
                <w:div w:id="586504532">
                  <w:marLeft w:val="0"/>
                  <w:marRight w:val="0"/>
                  <w:marTop w:val="120"/>
                  <w:marBottom w:val="0"/>
                  <w:divBdr>
                    <w:top w:val="none" w:sz="0" w:space="0" w:color="auto"/>
                    <w:left w:val="none" w:sz="0" w:space="0" w:color="auto"/>
                    <w:bottom w:val="none" w:sz="0" w:space="0" w:color="auto"/>
                    <w:right w:val="none" w:sz="0" w:space="0" w:color="auto"/>
                  </w:divBdr>
                </w:div>
                <w:div w:id="164518151">
                  <w:marLeft w:val="0"/>
                  <w:marRight w:val="0"/>
                  <w:marTop w:val="120"/>
                  <w:marBottom w:val="0"/>
                  <w:divBdr>
                    <w:top w:val="none" w:sz="0" w:space="0" w:color="auto"/>
                    <w:left w:val="none" w:sz="0" w:space="0" w:color="auto"/>
                    <w:bottom w:val="none" w:sz="0" w:space="0" w:color="auto"/>
                    <w:right w:val="none" w:sz="0" w:space="0" w:color="auto"/>
                  </w:divBdr>
                </w:div>
                <w:div w:id="1904750544">
                  <w:marLeft w:val="0"/>
                  <w:marRight w:val="0"/>
                  <w:marTop w:val="120"/>
                  <w:marBottom w:val="0"/>
                  <w:divBdr>
                    <w:top w:val="none" w:sz="0" w:space="0" w:color="auto"/>
                    <w:left w:val="none" w:sz="0" w:space="0" w:color="auto"/>
                    <w:bottom w:val="none" w:sz="0" w:space="0" w:color="auto"/>
                    <w:right w:val="none" w:sz="0" w:space="0" w:color="auto"/>
                  </w:divBdr>
                </w:div>
                <w:div w:id="1362440363">
                  <w:marLeft w:val="0"/>
                  <w:marRight w:val="0"/>
                  <w:marTop w:val="120"/>
                  <w:marBottom w:val="0"/>
                  <w:divBdr>
                    <w:top w:val="none" w:sz="0" w:space="0" w:color="auto"/>
                    <w:left w:val="none" w:sz="0" w:space="0" w:color="auto"/>
                    <w:bottom w:val="none" w:sz="0" w:space="0" w:color="auto"/>
                    <w:right w:val="none" w:sz="0" w:space="0" w:color="auto"/>
                  </w:divBdr>
                </w:div>
                <w:div w:id="701059003">
                  <w:marLeft w:val="0"/>
                  <w:marRight w:val="0"/>
                  <w:marTop w:val="120"/>
                  <w:marBottom w:val="0"/>
                  <w:divBdr>
                    <w:top w:val="none" w:sz="0" w:space="0" w:color="auto"/>
                    <w:left w:val="none" w:sz="0" w:space="0" w:color="auto"/>
                    <w:bottom w:val="none" w:sz="0" w:space="0" w:color="auto"/>
                    <w:right w:val="none" w:sz="0" w:space="0" w:color="auto"/>
                  </w:divBdr>
                </w:div>
                <w:div w:id="1667630125">
                  <w:marLeft w:val="0"/>
                  <w:marRight w:val="0"/>
                  <w:marTop w:val="120"/>
                  <w:marBottom w:val="0"/>
                  <w:divBdr>
                    <w:top w:val="none" w:sz="0" w:space="0" w:color="auto"/>
                    <w:left w:val="none" w:sz="0" w:space="0" w:color="auto"/>
                    <w:bottom w:val="none" w:sz="0" w:space="0" w:color="auto"/>
                    <w:right w:val="none" w:sz="0" w:space="0" w:color="auto"/>
                  </w:divBdr>
                </w:div>
                <w:div w:id="1290476117">
                  <w:marLeft w:val="0"/>
                  <w:marRight w:val="0"/>
                  <w:marTop w:val="120"/>
                  <w:marBottom w:val="0"/>
                  <w:divBdr>
                    <w:top w:val="none" w:sz="0" w:space="0" w:color="auto"/>
                    <w:left w:val="none" w:sz="0" w:space="0" w:color="auto"/>
                    <w:bottom w:val="none" w:sz="0" w:space="0" w:color="auto"/>
                    <w:right w:val="none" w:sz="0" w:space="0" w:color="auto"/>
                  </w:divBdr>
                </w:div>
                <w:div w:id="103746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f8a8f6c807fc10b53416c9c0d1bfe3311bd8758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28165/f8a8f6c807fc10b53416c9c0d1bfe3311bd875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671/9eefdf09ce7cf05e28e13c7d2229ac84f3004edf/" TargetMode="External"/><Relationship Id="rId11" Type="http://schemas.openxmlformats.org/officeDocument/2006/relationships/hyperlink" Target="http://www.consultant.ru/document/cons_doc_LAW_71640/" TargetMode="External"/><Relationship Id="rId5" Type="http://schemas.openxmlformats.org/officeDocument/2006/relationships/webSettings" Target="webSettings.xml"/><Relationship Id="rId10" Type="http://schemas.openxmlformats.org/officeDocument/2006/relationships/hyperlink" Target="http://www.consultant.ru/document/cons_doc_LAW_28165/0e7d06cd02f01c1e2308e366e556095e2181ffd2/" TargetMode="External"/><Relationship Id="rId4" Type="http://schemas.openxmlformats.org/officeDocument/2006/relationships/settings" Target="settings.xml"/><Relationship Id="rId9" Type="http://schemas.openxmlformats.org/officeDocument/2006/relationships/hyperlink" Target="http://www.consultant.ru/document/cons_doc_LAW_28165/0e7d06cd02f01c1e2308e366e556095e2181ff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Подыниглазова Лилия Яковлевна</dc:creator>
  <cp:lastModifiedBy>Машковская Ирина Борисовна</cp:lastModifiedBy>
  <cp:revision>2</cp:revision>
  <dcterms:created xsi:type="dcterms:W3CDTF">2016-10-12T05:52:00Z</dcterms:created>
  <dcterms:modified xsi:type="dcterms:W3CDTF">2016-12-27T04:40:00Z</dcterms:modified>
</cp:coreProperties>
</file>